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D1CFF" w14:textId="77777777" w:rsidR="00D0166E" w:rsidRDefault="00D0166E" w:rsidP="00D0166E">
      <w:pPr>
        <w:pStyle w:val="Nagwek3"/>
        <w:spacing w:before="120" w:after="120"/>
        <w:ind w:left="0"/>
      </w:pPr>
      <w:bookmarkStart w:id="0" w:name="_Toc187820273"/>
      <w:bookmarkStart w:id="1" w:name="_Hlk212458160"/>
    </w:p>
    <w:p w14:paraId="141A224D" w14:textId="29B0FBEB" w:rsidR="00D0166E" w:rsidRDefault="00D0166E" w:rsidP="00D0166E">
      <w:pPr>
        <w:pStyle w:val="Nagwek3"/>
        <w:numPr>
          <w:ilvl w:val="2"/>
          <w:numId w:val="4"/>
        </w:numPr>
        <w:spacing w:before="120" w:after="120"/>
      </w:pPr>
      <w:r>
        <w:t>Obszar Strefy Przygranicznej</w:t>
      </w:r>
      <w:bookmarkEnd w:id="0"/>
    </w:p>
    <w:p w14:paraId="49A2A742" w14:textId="77777777" w:rsidR="00D0166E" w:rsidRDefault="00D0166E" w:rsidP="00D0166E">
      <w:pPr>
        <w:ind w:left="0" w:firstLine="567"/>
        <w:jc w:val="both"/>
      </w:pPr>
      <w:bookmarkStart w:id="2" w:name="_heading=h.1rvwp1q" w:colFirst="0" w:colLast="0"/>
      <w:bookmarkEnd w:id="1"/>
      <w:bookmarkEnd w:id="2"/>
      <w:r>
        <w:t xml:space="preserve">Gminy położone na tym obszarze muszą zmagać się szeregiem uwarunkowań wpływających i ich rozwój. Wśród głównych wyzwań należy wskazać peryferyjne położenie względem reszty kraju i miast centralnych o najwyższym potencjale rozwoju, brak współpracy podmiotów z Polski i Niemiec generującej miejsca pracy (poza strefą nadmorską), zakłócone granicą państwową powiązania funkcjonalne, oddziaływanie miast Szczecina i Świnoujścia </w:t>
      </w:r>
      <w:r>
        <w:br/>
        <w:t>na przygraniczne obszary niemieckie pozbawione dobrego dostępu do większych miast i ich usług oraz oddziaływanie miasta Schwedt na stronę polską, długi odcinek granicy na Odrze bez</w:t>
      </w:r>
      <w:r>
        <w:rPr>
          <w:strike/>
        </w:rPr>
        <w:t xml:space="preserve"> </w:t>
      </w:r>
      <w:r>
        <w:t>wystarczającej liczby mostów, bariery na poziomie wspólnego planowania rozwoju obszarów przygranicznych, bariera językowa we współpracy czy nie w pełni wykorzystany potencjał wynikający z odziaływania światowej metropolii Berlina.</w:t>
      </w:r>
    </w:p>
    <w:p w14:paraId="7FF76D28" w14:textId="77777777" w:rsidR="00D0166E" w:rsidRDefault="00D0166E" w:rsidP="00D0166E">
      <w:pPr>
        <w:spacing w:after="120"/>
        <w:ind w:left="0" w:firstLine="567"/>
        <w:jc w:val="both"/>
      </w:pPr>
      <w:r>
        <w:t>Wskazany w PZPWZ cel i kierunki działań odnoszące się do OF Strefy Przygranicznej to:</w:t>
      </w:r>
    </w:p>
    <w:p w14:paraId="5223A419" w14:textId="77777777" w:rsidR="00D0166E" w:rsidRDefault="00D0166E" w:rsidP="00D0166E">
      <w:pPr>
        <w:numPr>
          <w:ilvl w:val="0"/>
          <w:numId w:val="2"/>
        </w:numPr>
        <w:pBdr>
          <w:top w:val="nil"/>
          <w:left w:val="nil"/>
          <w:bottom w:val="nil"/>
          <w:right w:val="nil"/>
          <w:between w:val="nil"/>
        </w:pBdr>
        <w:spacing w:after="0"/>
        <w:ind w:left="567"/>
        <w:jc w:val="both"/>
        <w:rPr>
          <w:i/>
          <w:color w:val="000000"/>
        </w:rPr>
      </w:pPr>
      <w:r>
        <w:rPr>
          <w:color w:val="000000"/>
        </w:rPr>
        <w:t xml:space="preserve">Cel XIV. </w:t>
      </w:r>
      <w:r>
        <w:rPr>
          <w:i/>
          <w:color w:val="000000"/>
        </w:rPr>
        <w:t>Poprawa spójności wewnętrznej i przełamywanie peryferyjności przygranicznego obszaru funkcjonalnego</w:t>
      </w:r>
    </w:p>
    <w:p w14:paraId="3C5B23A1" w14:textId="77777777" w:rsidR="00D0166E" w:rsidRDefault="00D0166E" w:rsidP="00D0166E">
      <w:pPr>
        <w:numPr>
          <w:ilvl w:val="1"/>
          <w:numId w:val="2"/>
        </w:numPr>
        <w:pBdr>
          <w:top w:val="nil"/>
          <w:left w:val="nil"/>
          <w:bottom w:val="nil"/>
          <w:right w:val="nil"/>
          <w:between w:val="nil"/>
        </w:pBdr>
        <w:spacing w:before="0" w:after="0"/>
        <w:ind w:left="709"/>
        <w:jc w:val="both"/>
        <w:rPr>
          <w:strike/>
          <w:color w:val="000000"/>
        </w:rPr>
      </w:pPr>
      <w:r>
        <w:rPr>
          <w:color w:val="000000"/>
        </w:rPr>
        <w:t xml:space="preserve">Kierunek 1. Przeciwdziałanie peryferyjności w przestrzeni kraju </w:t>
      </w:r>
      <w:r>
        <w:rPr>
          <w:color w:val="000000"/>
        </w:rPr>
        <w:br/>
        <w:t>i wykorzystanie powiązań transgranicznych.</w:t>
      </w:r>
      <w:r>
        <w:rPr>
          <w:strike/>
          <w:color w:val="000000"/>
        </w:rPr>
        <w:t xml:space="preserve"> </w:t>
      </w:r>
    </w:p>
    <w:p w14:paraId="0F72BB72" w14:textId="77777777" w:rsidR="00D0166E" w:rsidRDefault="00D0166E" w:rsidP="00D0166E">
      <w:pPr>
        <w:pStyle w:val="Legenda"/>
      </w:pPr>
      <w:bookmarkStart w:id="3" w:name="_Toc187822447"/>
      <w:r>
        <w:t xml:space="preserve">Tabela </w:t>
      </w:r>
      <w:r>
        <w:fldChar w:fldCharType="begin"/>
      </w:r>
      <w:r>
        <w:instrText xml:space="preserve"> SEQ Tabela \* ARABIC </w:instrText>
      </w:r>
      <w:r>
        <w:fldChar w:fldCharType="separate"/>
      </w:r>
      <w:r>
        <w:t>11</w:t>
      </w:r>
      <w:r>
        <w:fldChar w:fldCharType="end"/>
      </w:r>
      <w:r>
        <w:t xml:space="preserve">. </w:t>
      </w:r>
      <w:r w:rsidRPr="004E68D2">
        <w:t>Obszar Strefy Przygranicznej – działania dotyczące gmin Partnerstwa wskazane w PZPWZ</w:t>
      </w:r>
      <w:bookmarkEnd w:id="3"/>
    </w:p>
    <w:tbl>
      <w:tblPr>
        <w:tblW w:w="90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D0166E" w14:paraId="136E9D9E" w14:textId="77777777" w:rsidTr="00F53E9B">
        <w:trPr>
          <w:trHeight w:val="454"/>
          <w:tblHeader/>
          <w:jc w:val="right"/>
        </w:trPr>
        <w:tc>
          <w:tcPr>
            <w:tcW w:w="2446" w:type="dxa"/>
            <w:shd w:val="clear" w:color="auto" w:fill="FFC000"/>
          </w:tcPr>
          <w:p w14:paraId="3F8DC3BB" w14:textId="77777777" w:rsidR="00D0166E" w:rsidRDefault="00D0166E" w:rsidP="00F53E9B">
            <w:pPr>
              <w:spacing w:before="0"/>
              <w:ind w:left="0"/>
              <w:rPr>
                <w:b/>
              </w:rPr>
            </w:pPr>
            <w:r>
              <w:rPr>
                <w:b/>
              </w:rPr>
              <w:t xml:space="preserve">KIERUNKI DZIAŁAŃ </w:t>
            </w:r>
          </w:p>
        </w:tc>
        <w:tc>
          <w:tcPr>
            <w:tcW w:w="6626" w:type="dxa"/>
            <w:shd w:val="clear" w:color="auto" w:fill="FFC000"/>
          </w:tcPr>
          <w:p w14:paraId="3C9AA311" w14:textId="77777777" w:rsidR="00D0166E" w:rsidRDefault="00D0166E" w:rsidP="00F53E9B">
            <w:pPr>
              <w:spacing w:before="0"/>
              <w:ind w:left="0"/>
              <w:jc w:val="center"/>
              <w:rPr>
                <w:b/>
              </w:rPr>
            </w:pPr>
            <w:r>
              <w:rPr>
                <w:b/>
              </w:rPr>
              <w:t>DZIAŁANIA DOTYCZĄCE GMIN PARTNERSTWA</w:t>
            </w:r>
          </w:p>
        </w:tc>
      </w:tr>
      <w:tr w:rsidR="00D0166E" w14:paraId="0CED9EE0" w14:textId="77777777" w:rsidTr="00F53E9B">
        <w:trPr>
          <w:jc w:val="right"/>
        </w:trPr>
        <w:tc>
          <w:tcPr>
            <w:tcW w:w="2446" w:type="dxa"/>
          </w:tcPr>
          <w:p w14:paraId="15A17318" w14:textId="77777777" w:rsidR="00D0166E" w:rsidRDefault="00D0166E" w:rsidP="00F53E9B">
            <w:pPr>
              <w:spacing w:after="120"/>
              <w:ind w:left="0"/>
              <w:rPr>
                <w:color w:val="DD4C00"/>
              </w:rPr>
            </w:pPr>
            <w:r>
              <w:rPr>
                <w:b/>
                <w:color w:val="000000"/>
                <w:sz w:val="22"/>
                <w:szCs w:val="22"/>
              </w:rPr>
              <w:t xml:space="preserve">Kierunek 1. Przeciwdziałanie peryferyjności </w:t>
            </w:r>
            <w:r>
              <w:rPr>
                <w:b/>
                <w:color w:val="000000"/>
                <w:sz w:val="22"/>
                <w:szCs w:val="22"/>
              </w:rPr>
              <w:br/>
              <w:t xml:space="preserve">w przestrzeni kraju </w:t>
            </w:r>
            <w:r>
              <w:rPr>
                <w:b/>
                <w:color w:val="000000"/>
                <w:sz w:val="22"/>
                <w:szCs w:val="22"/>
              </w:rPr>
              <w:br/>
              <w:t>i wykorzystanie powiązań transgranicznych</w:t>
            </w:r>
          </w:p>
        </w:tc>
        <w:tc>
          <w:tcPr>
            <w:tcW w:w="6626" w:type="dxa"/>
          </w:tcPr>
          <w:p w14:paraId="6DC91823" w14:textId="77777777" w:rsidR="00D0166E" w:rsidRDefault="00D0166E" w:rsidP="00D0166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 xml:space="preserve">Modernizacja linii kolejowej nr 273 Szczecin-Wrocław </w:t>
            </w:r>
            <w:r>
              <w:rPr>
                <w:color w:val="000000"/>
                <w:sz w:val="22"/>
                <w:szCs w:val="22"/>
              </w:rPr>
              <w:br/>
              <w:t xml:space="preserve">(gminy na przebiegu linii kolejowej: </w:t>
            </w:r>
            <w:r>
              <w:rPr>
                <w:b/>
                <w:color w:val="000000"/>
                <w:sz w:val="22"/>
                <w:szCs w:val="22"/>
              </w:rPr>
              <w:t>Boleszkowice</w:t>
            </w:r>
            <w:r>
              <w:rPr>
                <w:color w:val="000000"/>
                <w:sz w:val="22"/>
                <w:szCs w:val="22"/>
              </w:rPr>
              <w:t>).</w:t>
            </w:r>
          </w:p>
          <w:p w14:paraId="56AFEE4D" w14:textId="77777777" w:rsidR="00D0166E" w:rsidRDefault="00D0166E" w:rsidP="00D0166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 xml:space="preserve">Modernizacja dróg wojewódzkich prowadzących do granicy </w:t>
            </w:r>
            <w:r>
              <w:rPr>
                <w:color w:val="000000"/>
                <w:sz w:val="22"/>
                <w:szCs w:val="22"/>
              </w:rPr>
              <w:br/>
              <w:t xml:space="preserve">z Niemcami na Odrze i/lub do węzłów drogi S3: nr 115, nr 120, </w:t>
            </w:r>
            <w:r>
              <w:rPr>
                <w:color w:val="000000"/>
                <w:sz w:val="22"/>
                <w:szCs w:val="22"/>
              </w:rPr>
              <w:br/>
              <w:t>nr 122 (</w:t>
            </w:r>
            <w:r>
              <w:rPr>
                <w:b/>
                <w:color w:val="000000"/>
                <w:sz w:val="22"/>
                <w:szCs w:val="22"/>
              </w:rPr>
              <w:t>Kozielice, Pyrzyce Przelewice, Choszczno</w:t>
            </w:r>
            <w:r>
              <w:rPr>
                <w:color w:val="000000"/>
                <w:sz w:val="22"/>
                <w:szCs w:val="22"/>
              </w:rPr>
              <w:t>), nr 124, 126.</w:t>
            </w:r>
          </w:p>
          <w:p w14:paraId="3655D5EB" w14:textId="77777777" w:rsidR="00D0166E" w:rsidRDefault="00D0166E" w:rsidP="00D0166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Modernizacja Odrzańskiej Drogi Wodnej (</w:t>
            </w:r>
            <w:r>
              <w:rPr>
                <w:b/>
                <w:color w:val="000000"/>
                <w:sz w:val="22"/>
                <w:szCs w:val="22"/>
              </w:rPr>
              <w:t>Boleszkowice</w:t>
            </w:r>
            <w:r>
              <w:rPr>
                <w:color w:val="000000"/>
                <w:sz w:val="22"/>
                <w:szCs w:val="22"/>
              </w:rPr>
              <w:t>).</w:t>
            </w:r>
          </w:p>
          <w:p w14:paraId="15FC58F6" w14:textId="77777777" w:rsidR="00D0166E" w:rsidRDefault="00D0166E" w:rsidP="00D0166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 xml:space="preserve">Odtwarzanie lub poprawa funkcjonowania transgranicznych powiązań komunikacyjnych (gminy przygraniczne: </w:t>
            </w:r>
            <w:r>
              <w:rPr>
                <w:b/>
                <w:color w:val="000000"/>
                <w:sz w:val="22"/>
                <w:szCs w:val="22"/>
              </w:rPr>
              <w:t>Boleszkowice</w:t>
            </w:r>
            <w:r>
              <w:rPr>
                <w:color w:val="000000"/>
                <w:sz w:val="22"/>
                <w:szCs w:val="22"/>
              </w:rPr>
              <w:t>).</w:t>
            </w:r>
          </w:p>
        </w:tc>
      </w:tr>
    </w:tbl>
    <w:p w14:paraId="12F4B21F" w14:textId="77777777" w:rsidR="00D0166E" w:rsidRDefault="00D0166E" w:rsidP="00D0166E">
      <w:pPr>
        <w:pBdr>
          <w:top w:val="nil"/>
          <w:left w:val="nil"/>
          <w:bottom w:val="nil"/>
          <w:right w:val="nil"/>
          <w:between w:val="nil"/>
        </w:pBdr>
        <w:spacing w:after="360"/>
        <w:ind w:left="0"/>
        <w:rPr>
          <w:color w:val="000000"/>
        </w:rPr>
      </w:pPr>
      <w:r>
        <w:rPr>
          <w:color w:val="000000"/>
        </w:rPr>
        <w:t>Źródło: Wyciąg z Planu Zagospodarowania Przestrzennego Województwa Zachodniopomorskiego, czerwiec 2020 r.</w:t>
      </w:r>
    </w:p>
    <w:p w14:paraId="7CE54EA7" w14:textId="77777777" w:rsidR="004E020C" w:rsidRDefault="004E020C"/>
    <w:sectPr w:rsidR="004E020C" w:rsidSect="00D0166E">
      <w:headerReference w:type="default" r:id="rId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0847" w14:textId="77777777" w:rsidR="000F7066" w:rsidRDefault="000F7066" w:rsidP="00D0166E">
      <w:pPr>
        <w:spacing w:before="0" w:after="0" w:line="240" w:lineRule="auto"/>
      </w:pPr>
      <w:r>
        <w:separator/>
      </w:r>
    </w:p>
  </w:endnote>
  <w:endnote w:type="continuationSeparator" w:id="0">
    <w:p w14:paraId="22F04D26" w14:textId="77777777" w:rsidR="000F7066" w:rsidRDefault="000F7066" w:rsidP="00D016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FDA68" w14:textId="77777777" w:rsidR="000F7066" w:rsidRDefault="000F7066" w:rsidP="00D0166E">
      <w:pPr>
        <w:spacing w:before="0" w:after="0" w:line="240" w:lineRule="auto"/>
      </w:pPr>
      <w:r>
        <w:separator/>
      </w:r>
    </w:p>
  </w:footnote>
  <w:footnote w:type="continuationSeparator" w:id="0">
    <w:p w14:paraId="27C95A6B" w14:textId="77777777" w:rsidR="000F7066" w:rsidRDefault="000F7066" w:rsidP="00D0166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9DFB" w14:textId="0A4B4CC9" w:rsidR="00D0166E" w:rsidRDefault="00D0166E" w:rsidP="00D0166E">
    <w:pPr>
      <w:pStyle w:val="Nagwek"/>
      <w:jc w:val="right"/>
    </w:pPr>
    <w:r>
      <w:t>Załącznik nr 2 do uchwały nr 01/VII/2025 z dnia</w:t>
    </w:r>
    <w:r w:rsidR="00D12587">
      <w:t xml:space="preserve"> </w:t>
    </w:r>
    <w:r w:rsidR="00E77D5D">
      <w:t>13</w:t>
    </w:r>
    <w:r w:rsidR="00D12587">
      <w:t>.11.</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F22DD"/>
    <w:multiLevelType w:val="multilevel"/>
    <w:tmpl w:val="402074F0"/>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24FE5E16"/>
    <w:multiLevelType w:val="multilevel"/>
    <w:tmpl w:val="920E93C0"/>
    <w:lvl w:ilvl="0">
      <w:start w:val="3"/>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45E65386"/>
    <w:multiLevelType w:val="multilevel"/>
    <w:tmpl w:val="FF60C11E"/>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6922382"/>
    <w:multiLevelType w:val="multilevel"/>
    <w:tmpl w:val="D94AA7D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16cid:durableId="751051992">
    <w:abstractNumId w:val="0"/>
  </w:num>
  <w:num w:numId="2" w16cid:durableId="501313400">
    <w:abstractNumId w:val="3"/>
  </w:num>
  <w:num w:numId="3" w16cid:durableId="488252683">
    <w:abstractNumId w:val="2"/>
  </w:num>
  <w:num w:numId="4" w16cid:durableId="1697150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D3"/>
    <w:rsid w:val="000726D3"/>
    <w:rsid w:val="000D5D28"/>
    <w:rsid w:val="000F7066"/>
    <w:rsid w:val="004E020C"/>
    <w:rsid w:val="00A02DF7"/>
    <w:rsid w:val="00B21106"/>
    <w:rsid w:val="00D0166E"/>
    <w:rsid w:val="00D12587"/>
    <w:rsid w:val="00DC7051"/>
    <w:rsid w:val="00E1025C"/>
    <w:rsid w:val="00E5608D"/>
    <w:rsid w:val="00E77D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125F"/>
  <w15:chartTrackingRefBased/>
  <w15:docId w15:val="{6F72AED4-6BF3-4C3C-97BD-C8C08DA4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166E"/>
    <w:pPr>
      <w:spacing w:before="120" w:after="240" w:line="276" w:lineRule="auto"/>
      <w:ind w:left="851"/>
    </w:pPr>
    <w:rPr>
      <w:rFonts w:ascii="Calibri" w:eastAsia="Calibri" w:hAnsi="Calibri" w:cs="Calibri"/>
      <w:kern w:val="0"/>
      <w:sz w:val="24"/>
      <w:szCs w:val="24"/>
      <w:lang w:eastAsia="pl-PL"/>
      <w14:ligatures w14:val="none"/>
    </w:rPr>
  </w:style>
  <w:style w:type="paragraph" w:styleId="Nagwek1">
    <w:name w:val="heading 1"/>
    <w:basedOn w:val="Normalny"/>
    <w:next w:val="Normalny"/>
    <w:link w:val="Nagwek1Znak"/>
    <w:uiPriority w:val="9"/>
    <w:qFormat/>
    <w:rsid w:val="000726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0726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0726D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0726D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726D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726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726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726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726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26D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726D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0726D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726D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726D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726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726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726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726D3"/>
    <w:rPr>
      <w:rFonts w:eastAsiaTheme="majorEastAsia" w:cstheme="majorBidi"/>
      <w:color w:val="272727" w:themeColor="text1" w:themeTint="D8"/>
    </w:rPr>
  </w:style>
  <w:style w:type="paragraph" w:styleId="Tytu">
    <w:name w:val="Title"/>
    <w:basedOn w:val="Normalny"/>
    <w:next w:val="Normalny"/>
    <w:link w:val="TytuZnak"/>
    <w:uiPriority w:val="10"/>
    <w:qFormat/>
    <w:rsid w:val="00072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726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726D3"/>
    <w:pPr>
      <w:numPr>
        <w:ilvl w:val="1"/>
      </w:numPr>
      <w:ind w:left="851"/>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726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726D3"/>
    <w:pPr>
      <w:spacing w:before="160"/>
      <w:jc w:val="center"/>
    </w:pPr>
    <w:rPr>
      <w:i/>
      <w:iCs/>
      <w:color w:val="404040" w:themeColor="text1" w:themeTint="BF"/>
    </w:rPr>
  </w:style>
  <w:style w:type="character" w:customStyle="1" w:styleId="CytatZnak">
    <w:name w:val="Cytat Znak"/>
    <w:basedOn w:val="Domylnaczcionkaakapitu"/>
    <w:link w:val="Cytat"/>
    <w:uiPriority w:val="29"/>
    <w:rsid w:val="000726D3"/>
    <w:rPr>
      <w:i/>
      <w:iCs/>
      <w:color w:val="404040" w:themeColor="text1" w:themeTint="BF"/>
    </w:rPr>
  </w:style>
  <w:style w:type="paragraph" w:styleId="Akapitzlist">
    <w:name w:val="List Paragraph"/>
    <w:basedOn w:val="Normalny"/>
    <w:uiPriority w:val="34"/>
    <w:qFormat/>
    <w:rsid w:val="000726D3"/>
    <w:pPr>
      <w:ind w:left="720"/>
      <w:contextualSpacing/>
    </w:pPr>
  </w:style>
  <w:style w:type="character" w:styleId="Wyrnienieintensywne">
    <w:name w:val="Intense Emphasis"/>
    <w:basedOn w:val="Domylnaczcionkaakapitu"/>
    <w:uiPriority w:val="21"/>
    <w:qFormat/>
    <w:rsid w:val="000726D3"/>
    <w:rPr>
      <w:i/>
      <w:iCs/>
      <w:color w:val="2F5496" w:themeColor="accent1" w:themeShade="BF"/>
    </w:rPr>
  </w:style>
  <w:style w:type="paragraph" w:styleId="Cytatintensywny">
    <w:name w:val="Intense Quote"/>
    <w:basedOn w:val="Normalny"/>
    <w:next w:val="Normalny"/>
    <w:link w:val="CytatintensywnyZnak"/>
    <w:uiPriority w:val="30"/>
    <w:qFormat/>
    <w:rsid w:val="000726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726D3"/>
    <w:rPr>
      <w:i/>
      <w:iCs/>
      <w:color w:val="2F5496" w:themeColor="accent1" w:themeShade="BF"/>
    </w:rPr>
  </w:style>
  <w:style w:type="character" w:styleId="Odwoanieintensywne">
    <w:name w:val="Intense Reference"/>
    <w:basedOn w:val="Domylnaczcionkaakapitu"/>
    <w:uiPriority w:val="32"/>
    <w:qFormat/>
    <w:rsid w:val="000726D3"/>
    <w:rPr>
      <w:b/>
      <w:bCs/>
      <w:smallCaps/>
      <w:color w:val="2F5496" w:themeColor="accent1" w:themeShade="BF"/>
      <w:spacing w:val="5"/>
    </w:rPr>
  </w:style>
  <w:style w:type="paragraph" w:styleId="Legenda">
    <w:name w:val="caption"/>
    <w:aliases w:val="podpis,Legenda Znak Znak Znak,Legenda Znak Znak,Legenda Znak Znak Znak Znak,Legenda Znak Znak Znak Znak Znak Znak,Legenda Znak Znak Znak Znak Znak Znak Znak,Legenda Znak Znak Znak Znak Znak Znak Znak Znak Znak Z,podpis pod tabelą,Wykres-podpis"/>
    <w:basedOn w:val="Normalny"/>
    <w:next w:val="Normalny"/>
    <w:link w:val="LegendaZnak"/>
    <w:autoRedefine/>
    <w:uiPriority w:val="35"/>
    <w:unhideWhenUsed/>
    <w:qFormat/>
    <w:rsid w:val="00D0166E"/>
    <w:pPr>
      <w:keepNext/>
      <w:spacing w:before="360" w:after="120" w:line="240" w:lineRule="auto"/>
      <w:ind w:left="0"/>
    </w:pPr>
    <w:rPr>
      <w:b/>
      <w:iCs/>
      <w:noProof/>
      <w:szCs w:val="18"/>
    </w:rPr>
  </w:style>
  <w:style w:type="character" w:customStyle="1" w:styleId="LegendaZnak">
    <w:name w:val="Legenda Znak"/>
    <w:aliases w:val="podpis Znak,Legenda Znak Znak Znak Znak1,Legenda Znak Znak Znak1,Legenda Znak Znak Znak Znak Znak,Legenda Znak Znak Znak Znak Znak Znak Znak1,Legenda Znak Znak Znak Znak Znak Znak Znak Znak,podpis pod tabelą Znak,Wykres-podpis Znak"/>
    <w:basedOn w:val="Domylnaczcionkaakapitu"/>
    <w:link w:val="Legenda"/>
    <w:uiPriority w:val="35"/>
    <w:rsid w:val="00D0166E"/>
    <w:rPr>
      <w:rFonts w:ascii="Calibri" w:eastAsia="Calibri" w:hAnsi="Calibri" w:cs="Calibri"/>
      <w:b/>
      <w:iCs/>
      <w:noProof/>
      <w:kern w:val="0"/>
      <w:sz w:val="24"/>
      <w:szCs w:val="18"/>
      <w:lang w:eastAsia="pl-PL"/>
      <w14:ligatures w14:val="none"/>
    </w:rPr>
  </w:style>
  <w:style w:type="paragraph" w:styleId="Nagwek">
    <w:name w:val="header"/>
    <w:basedOn w:val="Normalny"/>
    <w:link w:val="NagwekZnak"/>
    <w:uiPriority w:val="99"/>
    <w:unhideWhenUsed/>
    <w:rsid w:val="00D0166E"/>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0166E"/>
    <w:rPr>
      <w:rFonts w:ascii="Calibri" w:eastAsia="Calibri" w:hAnsi="Calibri" w:cs="Calibri"/>
      <w:kern w:val="0"/>
      <w:sz w:val="24"/>
      <w:szCs w:val="24"/>
      <w:lang w:eastAsia="pl-PL"/>
      <w14:ligatures w14:val="none"/>
    </w:rPr>
  </w:style>
  <w:style w:type="paragraph" w:styleId="Stopka">
    <w:name w:val="footer"/>
    <w:basedOn w:val="Normalny"/>
    <w:link w:val="StopkaZnak"/>
    <w:uiPriority w:val="99"/>
    <w:unhideWhenUsed/>
    <w:rsid w:val="00D0166E"/>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0166E"/>
    <w:rPr>
      <w:rFonts w:ascii="Calibri" w:eastAsia="Calibri" w:hAnsi="Calibri" w:cs="Calibri"/>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1736</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dc:description/>
  <cp:lastModifiedBy>Justyna</cp:lastModifiedBy>
  <cp:revision>4</cp:revision>
  <dcterms:created xsi:type="dcterms:W3CDTF">2025-10-27T10:51:00Z</dcterms:created>
  <dcterms:modified xsi:type="dcterms:W3CDTF">2025-11-03T10:49:00Z</dcterms:modified>
</cp:coreProperties>
</file>